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начале процедуры</w:t>
      </w:r>
      <w:r>
        <w:rPr>
          <w:rFonts w:ascii="Times New Roman" w:hAnsi="Times New Roman"/>
          <w:b/>
          <w:sz w:val="28"/>
          <w:szCs w:val="28"/>
        </w:rPr>
        <w:t xml:space="preserve"> формировани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 состава 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бщественного совета при </w:t>
      </w:r>
      <w:r>
        <w:rPr>
          <w:rFonts w:ascii="Times New Roman" w:hAnsi="Times New Roman"/>
          <w:b/>
          <w:sz w:val="28"/>
          <w:szCs w:val="28"/>
        </w:rPr>
        <w:t xml:space="preserve">управлении по делам ЗАГС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по делам ЗАГС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Новосибирской области информиру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 о начале процедуры формирования состава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бщественного совета при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управлении по делам ЗАГС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Новосибирской области (далее, соответственно – общественный совет,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Общественный совет формируется в соответствии с Феде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ральным законом от 21.07.2014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212-ФЗ «Об основах общественного контроля в Российской Федерации», законом Ново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сибирской области от 02.06.2015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551-ОЗ «Об отдельных вопросах организации и осуществления общественного контроля в Новосибирской области»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Типовым положением об общественном совете при исполнительном органе государственной власти Новосибирской области, утвержденным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Правительства Новосибирской 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бласти от 01.12.2015 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425-п, </w:t>
      </w:r>
      <w:r>
        <w:rPr>
          <w:rFonts w:ascii="Times New Roman" w:hAnsi="Times New Roman"/>
          <w:sz w:val="28"/>
          <w:szCs w:val="28"/>
        </w:rPr>
        <w:t xml:space="preserve"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общественном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управлени</w:t>
      </w:r>
      <w:r>
        <w:rPr>
          <w:rFonts w:ascii="Times New Roman" w:hAnsi="Times New Roman"/>
          <w:sz w:val="28"/>
          <w:szCs w:val="28"/>
        </w:rPr>
        <w:t xml:space="preserve">и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по делам ЗАГС </w:t>
      </w: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делам ЗАГС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.2016 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формирования 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бщественного совета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Общественный совет формируется на конкурсной основе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количестве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 человек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Срок полномочий членов общественного совета составляет 3 года.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бщественного совета формируется из числа кандидатов, выдвинутых в члены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представительства: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кандидаты в члены общественного совета в количестве 3/4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выше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указанного количественного состава общественного совета предлагаются Общественной палатой Новосибирской области из числа поступивших заявок, отобранных в соответствии с процедурой конкурса;</w:t>
      </w:r>
      <w:bookmarkStart w:id="1" w:name="Par84"/>
      <w:r/>
      <w:bookmarkEnd w:id="1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кандидаты в члены общественного совета в количестве 1/4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выше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указанного количественного состава общественного совета предлагаются конкурсной комиссией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 числа поступивших заявок, отобранных в соответствии с процедурой конкурса.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Общественная палата Новосибирской области рассматривает представленные общественным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порядке, установленном Регламентом Общественной палаты Новосибирской области, в пределах установленной квоты.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Совет Общественной палаты Новосибирской области рассматривает представленный Общественной палатой Новосибирской области список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кандидатур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согласования,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направляет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список начальнику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утверждения.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tabs>
          <w:tab w:val="left" w:pos="4656" w:leader="none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Отбор кандидатов в состав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бщественного совета осуществляется по результатам проведения конкурса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оценки кандидатов конкурсной комиссией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формированию 1/4 состава общ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ественного совета.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и ад</w:t>
      </w:r>
      <w:r>
        <w:rPr>
          <w:rFonts w:ascii="Times New Roman" w:hAnsi="Times New Roman"/>
          <w:b/>
          <w:sz w:val="28"/>
          <w:szCs w:val="28"/>
        </w:rPr>
        <w:t xml:space="preserve">рес для направления предложений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кандидатам в члены 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бщественного совета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 на участие в конкурсе принимаются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срок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17.02.2025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14.03.2025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письме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нной форме на бумажном носителе,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адресу: 63000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г. Новосибирск,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Красный проспект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каб.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Документы принимает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консультант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отдела организационно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го, правового, информационного обеспечения и статистической отчетности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Шамшеева Ульяна 238-60-95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Время приема документов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9:00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с 14:00 до 17:00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понедельника по четверг, в пятницу с 9: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00 и с 14:00 до 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выдвижения и требования к кандидатам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члены 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бщественного совета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r>
      <w:r>
        <w:rPr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1) зарегистрированы и осуществляют деятельность на территории Российской Федерации;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2) имеют период деятельности не менее 3 лет с момента государственной регистрации на момент объявления конкурса;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3) не находятся в процессе ликвидации;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4) осуществляют деятельность, соответствующую специальной компетенции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управления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в установленных федеральным законодательством и законодательством Новосибирской области сферах, при котором формируется общественный совет.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Кандидаты на должность председателя общественного совета управления представляют краткую программу своей работы.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Не могут выдвигать кандидатов в состав общественного совета общественные объединения, иные негосударственные некоммерческие организации: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1) 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2) деятельность которых приостановлена в соответствии с Федеральным законом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от 25.07.2002 № 114-ФЗ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«О противодействии экстремистской деятельности», если решение о приостановлении не было признано судом незаконным.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Кандидаты в состав общественного совета при управлении должны соответствовать следующим требованиям: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1) иметь гражданство Российской Федерации и возраст старше 21 года;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2) иметь опыт работы по направлениям деятельности, соответствующим специальной компетенции управления в установленных федеральным и областным законодательством сферах, при котором формируется общественный совет, свыше 1 года;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3) не иметь конфликта интересов, связанного с осуществлением деятельности члена общественного совета.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Не могут быть выдвинуты в качестве кандидатов в члены общественного совета: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1)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редставители общественных объединений и иных некоммерческих организаций, которые в соответствии с Федеральным законом от 04.04.2005 № 32-ФЗ «Об Общественной палате Российской Федерации» не могут выдвигать кандидатов в члены Общественной палаты Российской Ф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едерации;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2) 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л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 и лица, замещающие муниципальные должности и должности муниципальной слу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жбы, а также другие лица, 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Федерации».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Дополнительные требования к кандидатам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члены общественного совета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 Наличие </w:t>
      </w:r>
      <w:r>
        <w:rPr>
          <w:rFonts w:ascii="Times New Roman" w:hAnsi="Times New Roman"/>
          <w:sz w:val="28"/>
          <w:szCs w:val="28"/>
          <w:highlight w:val="white"/>
        </w:rPr>
        <w:t xml:space="preserve">высше</w:t>
      </w:r>
      <w:r>
        <w:rPr>
          <w:rFonts w:ascii="Times New Roman" w:hAnsi="Times New Roman"/>
          <w:sz w:val="28"/>
          <w:szCs w:val="28"/>
          <w:highlight w:val="white"/>
        </w:rPr>
        <w:t xml:space="preserve">го</w:t>
      </w:r>
      <w:r>
        <w:rPr>
          <w:rFonts w:ascii="Times New Roman" w:hAnsi="Times New Roman"/>
          <w:sz w:val="28"/>
          <w:szCs w:val="28"/>
          <w:highlight w:val="white"/>
        </w:rPr>
        <w:t xml:space="preserve"> профессионально</w:t>
      </w:r>
      <w:r>
        <w:rPr>
          <w:rFonts w:ascii="Times New Roman" w:hAnsi="Times New Roman"/>
          <w:sz w:val="28"/>
          <w:szCs w:val="28"/>
          <w:highlight w:val="white"/>
        </w:rPr>
        <w:t xml:space="preserve">го образования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по специальности «Юриспруденция», «Правоведение»</w:t>
      </w:r>
      <w:r>
        <w:rPr>
          <w:rFonts w:ascii="Times New Roman" w:hAnsi="Times New Roman"/>
          <w:sz w:val="28"/>
          <w:szCs w:val="28"/>
          <w:highlight w:val="white"/>
        </w:rPr>
        <w:t xml:space="preserve">, «Государственное и муниципальное управление».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 Знание: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/>
          <w:sz w:val="28"/>
          <w:szCs w:val="28"/>
          <w:highlight w:val="white"/>
        </w:rPr>
        <w:t xml:space="preserve">онституции Российской Федерации, федеральных законов и иных нормативных правовых актов Российской Федерации, Устава Новосибирской области, законов Новосибирской области и иных нормативных правовых актов Новосибирской области, соответствующих направлениям д</w:t>
      </w:r>
      <w:r>
        <w:rPr>
          <w:rFonts w:ascii="Times New Roman" w:hAnsi="Times New Roman"/>
          <w:sz w:val="28"/>
          <w:szCs w:val="28"/>
          <w:highlight w:val="white"/>
        </w:rPr>
        <w:t xml:space="preserve">еятельности управления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/>
          <w:sz w:val="28"/>
          <w:szCs w:val="28"/>
          <w:highlight w:val="white"/>
        </w:rPr>
        <w:t xml:space="preserve">основ законодательства о государственной гражданской службе Российской Федерации и Новосибирской области;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 основ законодательства о государственной контрактной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 основ законодательства об актах гражданского состояния;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839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/>
          <w:sz w:val="28"/>
          <w:szCs w:val="28"/>
          <w:highlight w:val="white"/>
        </w:rPr>
        <w:t xml:space="preserve">нормативных правовых актов Российской Федерации и Новосибирской области по вопросам противодействия коррупции;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/>
          <w:sz w:val="28"/>
          <w:szCs w:val="28"/>
          <w:highlight w:val="white"/>
        </w:rPr>
        <w:t xml:space="preserve">Стаж работы по специальности, направлению подготовки не менее 1 года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 Опыт участия в координационных и совещательных органах при органах государственной власти, органах местного самоуправления Новосибирской области, иных организациях.</w:t>
      </w:r>
      <w:r>
        <w:rPr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для участия в конкурсе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Для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участия в конкурсе кандидаты в члены общественного совета 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представляют</w:t>
      </w:r>
      <w:r>
        <w:rPr>
          <w:rFonts w:ascii="Times New Roman" w:hAnsi="Times New Roman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следующие документы</w:t>
      </w:r>
      <w:r>
        <w:rPr>
          <w:rFonts w:ascii="Times New Roman" w:hAnsi="Times New Roman"/>
          <w:sz w:val="28"/>
          <w:szCs w:val="28"/>
          <w:highlight w:val="white"/>
        </w:rPr>
        <w:t xml:space="preserve"> по форме, установленной П</w:t>
      </w:r>
      <w:r>
        <w:rPr>
          <w:rFonts w:ascii="Times New Roman" w:hAnsi="Times New Roman"/>
          <w:sz w:val="28"/>
          <w:szCs w:val="28"/>
          <w:highlight w:val="white"/>
        </w:rPr>
        <w:t xml:space="preserve">оложение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 </w:t>
      </w:r>
      <w:r>
        <w:rPr>
          <w:rFonts w:ascii="Times New Roman" w:hAnsi="Times New Roman"/>
          <w:sz w:val="28"/>
          <w:szCs w:val="28"/>
          <w:highlight w:val="white"/>
        </w:rPr>
        <w:t xml:space="preserve">общественном совете при </w:t>
      </w:r>
      <w:r>
        <w:rPr>
          <w:rFonts w:ascii="Times New Roman" w:hAnsi="Times New Roman"/>
          <w:sz w:val="28"/>
          <w:szCs w:val="28"/>
          <w:highlight w:val="white"/>
        </w:rPr>
        <w:t xml:space="preserve">управлении по делам ЗАГС </w:t>
      </w:r>
      <w:r>
        <w:rPr>
          <w:rFonts w:ascii="Times New Roman" w:hAnsi="Times New Roman"/>
          <w:sz w:val="28"/>
          <w:szCs w:val="28"/>
          <w:highlight w:val="white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, утвержденным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приказом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управления по делам ЗАГС Новосибирской области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.0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.2016 №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68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hyperlink r:id="rId8" w:tooltip="consultantplus://offline/ref=B4308BE8C7B6CE0E8FC96167A89E3DAE4246F209ACED135CA5B56D19106DFE4AF845CD11753215E3B1EB0015C116A35DD5C4BAC33BF226653151BE68c137D" w:history="1">
        <w:r>
          <w:rPr>
            <w:rStyle w:val="831"/>
            <w:rFonts w:ascii="Times New Roman" w:hAnsi="Times New Roman"/>
            <w:color w:val="auto"/>
            <w:sz w:val="28"/>
            <w:szCs w:val="28"/>
            <w:highlight w:val="white"/>
            <w:u w:val="none"/>
          </w:rPr>
          <w:t xml:space="preserve">заявление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о включении в общественный совет </w:t>
      </w:r>
      <w:r>
        <w:rPr>
          <w:rFonts w:ascii="Times New Roman" w:hAnsi="Times New Roman"/>
          <w:sz w:val="28"/>
          <w:szCs w:val="28"/>
          <w:highlight w:val="white"/>
        </w:rPr>
        <w:t xml:space="preserve">(форма прилагается к </w:t>
      </w:r>
      <w:r>
        <w:rPr>
          <w:rFonts w:ascii="Times New Roman" w:hAnsi="Times New Roman"/>
          <w:sz w:val="28"/>
          <w:szCs w:val="28"/>
          <w:highlight w:val="white"/>
        </w:rPr>
        <w:t xml:space="preserve">настоящему </w:t>
      </w:r>
      <w:r>
        <w:rPr>
          <w:rFonts w:ascii="Times New Roman" w:hAnsi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/>
          <w:sz w:val="28"/>
          <w:szCs w:val="28"/>
          <w:highlight w:val="white"/>
        </w:rPr>
        <w:t xml:space="preserve">ведомлению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hyperlink r:id="rId9" w:tooltip="consultantplus://offline/ref=B4308BE8C7B6CE0E8FC96167A89E3DAE4246F209ACED135CA5B56D19106DFE4AF845CD11753215E3B1EB0014C916A35DD5C4BAC33BF226653151BE68c137D" w:history="1">
        <w:r>
          <w:rPr>
            <w:rStyle w:val="831"/>
            <w:rFonts w:ascii="Times New Roman" w:hAnsi="Times New Roman"/>
            <w:color w:val="auto"/>
            <w:sz w:val="28"/>
            <w:szCs w:val="28"/>
            <w:highlight w:val="white"/>
            <w:u w:val="none"/>
          </w:rPr>
          <w:t xml:space="preserve">анкету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кандидата в члены общественного совета </w:t>
      </w:r>
      <w:r>
        <w:rPr>
          <w:rFonts w:ascii="Times New Roman" w:hAnsi="Times New Roman"/>
          <w:sz w:val="28"/>
          <w:szCs w:val="28"/>
          <w:highlight w:val="white"/>
        </w:rPr>
        <w:t xml:space="preserve">(форма прилагается к настоящему уведомлению);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</w:rPr>
        <w:t xml:space="preserve"> </w:t>
      </w:r>
      <w:hyperlink r:id="rId10" w:tooltip="consultantplus://offline/ref=B4308BE8C7B6CE0E8FC96167A89E3DAE4246F209ACED135CA5B56D19106DFE4AF845CD11753215E3B1EB0011C916A35DD5C4BAC33BF226653151BE68c137D" w:history="1">
        <w:r>
          <w:rPr>
            <w:rStyle w:val="831"/>
            <w:rFonts w:ascii="Times New Roman" w:hAnsi="Times New Roman"/>
            <w:color w:val="auto"/>
            <w:sz w:val="28"/>
            <w:szCs w:val="28"/>
            <w:highlight w:val="white"/>
            <w:u w:val="none"/>
          </w:rPr>
          <w:t xml:space="preserve">согласие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 на обработку персональных данных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(форма прилагается к настоящему уведомлению);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 справка об отсутствии конфликта интересов </w:t>
      </w:r>
      <w:r>
        <w:rPr>
          <w:rFonts w:ascii="Times New Roman" w:hAnsi="Times New Roman"/>
          <w:sz w:val="28"/>
          <w:szCs w:val="28"/>
          <w:highlight w:val="white"/>
        </w:rPr>
        <w:t xml:space="preserve">(форма прилагается к настоящему уведомлению).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Также кандидаты представляют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</w:rPr>
        <w:t xml:space="preserve"> реш</w:t>
      </w:r>
      <w:r>
        <w:rPr>
          <w:rFonts w:ascii="Times New Roman" w:hAnsi="Times New Roman"/>
          <w:sz w:val="28"/>
          <w:szCs w:val="28"/>
          <w:highlight w:val="white"/>
        </w:rPr>
        <w:t xml:space="preserve">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</w:t>
      </w:r>
      <w:r>
        <w:rPr>
          <w:rFonts w:ascii="Times New Roman" w:hAnsi="Times New Roman"/>
          <w:sz w:val="28"/>
          <w:szCs w:val="28"/>
          <w:highlight w:val="white"/>
        </w:rPr>
        <w:t xml:space="preserve">й(</w:t>
      </w:r>
      <w:r>
        <w:rPr>
          <w:rFonts w:ascii="Times New Roman" w:hAnsi="Times New Roman"/>
          <w:sz w:val="28"/>
          <w:szCs w:val="28"/>
          <w:highlight w:val="white"/>
        </w:rPr>
        <w:t xml:space="preserve">ым</w:t>
      </w:r>
      <w:r>
        <w:rPr>
          <w:rFonts w:ascii="Times New Roman" w:hAnsi="Times New Roman"/>
          <w:sz w:val="28"/>
          <w:szCs w:val="28"/>
          <w:highlight w:val="white"/>
        </w:rPr>
        <w:t xml:space="preserve">) палатой (советом) муниципального образования Новосибирской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вправе по своему усмотрению представить дополнительные документы в целях подтверждения соответствия кандидата установленным требованиям и оценки кандидата.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2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Общественн</w:t>
      </w:r>
      <w:r>
        <w:rPr>
          <w:rFonts w:ascii="Times New Roman" w:hAnsi="Times New Roman"/>
          <w:sz w:val="28"/>
          <w:szCs w:val="28"/>
        </w:rPr>
        <w:t xml:space="preserve">ую палату Новосибирской области</w:t>
      </w:r>
      <w:r>
        <w:rPr>
          <w:rFonts w:ascii="Times New Roman" w:hAnsi="Times New Roman"/>
          <w:sz w:val="28"/>
          <w:szCs w:val="28"/>
        </w:rPr>
        <w:t xml:space="preserve">/управление по делам ЗАГС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2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</w:t>
      </w:r>
      <w:r>
        <w:rPr>
          <w:rFonts w:ascii="Times New Roman" w:hAnsi="Times New Roman"/>
          <w:sz w:val="28"/>
          <w:szCs w:val="28"/>
        </w:rPr>
        <w:t xml:space="preserve">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540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(Ф.И.О., последнее -при наличии)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637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включении в общественный совет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управлении по делам ЗАГС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540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(Ф.И.О., последнее -при наличии)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прошу включить меня в состав общественного совета при управлении по </w:t>
      </w:r>
      <w:r>
        <w:rPr>
          <w:rFonts w:ascii="Times New Roman" w:hAnsi="Times New Roman"/>
          <w:sz w:val="28"/>
          <w:szCs w:val="28"/>
        </w:rPr>
        <w:t xml:space="preserve">делам ЗАГС Новосибирской области.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 случае согласования моей кандидатуры подтверждаю 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требованиям, предъявляемым к члену общественного совета при управлении по</w:t>
      </w:r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делам ЗАГС Новосибирской области, и выражаю свое согласие войти в состав</w:t>
      </w:r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общественного совета (резерв общественного совета)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b w:val="0"/>
          <w:i w:val="0"/>
          <w:strike w:val="0"/>
          <w:sz w:val="20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прилагаю: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анкету кандидата в общественный совет;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согласие на обработку персональных данных;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- уведомление об отсутствии конфликта интересов;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выдвижении кандидата в члены общественного совета/копию письма ________________________________________________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должности руководителя организации, содержащего предложение о выдвижении кандидата в члены общественного совета)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20____ г.           ___________/ 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5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(подпись)                   (расшифровка подписи)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кандидата в общественный совет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управлении по делам ЗАГС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91"/>
        <w:gridCol w:w="4515"/>
        <w:gridCol w:w="4465"/>
      </w:tblGrid>
      <w:tr>
        <w:tblPrEx/>
        <w:trPr/>
        <w:tc>
          <w:tcPr>
            <w:shd w:val="clear" w:color="auto" w:fill="auto"/>
            <w:tcW w:w="5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кандидате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Графа для заполнения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011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(при наличии)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124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956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ffffff" w:fill="ffffff"/>
            <w:tcW w:w="5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51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Гражданство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46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07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жительства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982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840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549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образования, наименование учебного заведения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58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ученого звания, ученой степени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25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118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деятельность, опыт участия в координационных и совещательных органах при органах государственной власти, органах местного самоуправления Новосибирской области, иных организациях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407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(отсутствие) неснятой или непогашенной судимости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1833"/>
        </w:trPr>
        <w:tc>
          <w:tcPr>
            <w:shd w:val="clear" w:color="ffffff" w:fill="ffffff"/>
            <w:tcW w:w="59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51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членстве в составе общественных советов иных исполнительных органов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46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399"/>
        </w:trPr>
        <w:tc>
          <w:tcPr>
            <w:shd w:val="clear" w:color="auto" w:fill="auto"/>
            <w:tcW w:w="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5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4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/>
      <w:bookmarkStart w:id="2" w:name="Par248"/>
      <w:r/>
      <w:bookmarkEnd w:id="2"/>
      <w:r>
        <w:rPr>
          <w:rFonts w:ascii="Times New Roman" w:hAnsi="Times New Roman"/>
          <w:b/>
          <w:sz w:val="28"/>
          <w:szCs w:val="28"/>
        </w:rPr>
        <w:t xml:space="preserve">СОГЛАСИЕ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_______________________________________________________________,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3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 (при наличии), дата рождения лица)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141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основного документа, удостоверяющего личность, и его реквизиты)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проживающи</w:t>
      </w:r>
      <w:r>
        <w:rPr>
          <w:rFonts w:ascii="Times New Roman" w:hAnsi="Times New Roman"/>
          <w:sz w:val="28"/>
          <w:szCs w:val="28"/>
        </w:rPr>
        <w:t xml:space="preserve">й(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) по адресу _________________________________________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порядке и на условиях, определенных Федеральным законом от 27.07.2006 </w:t>
      </w:r>
      <w:r>
        <w:rPr>
          <w:rFonts w:ascii="Times New Roman" w:hAnsi="Times New Roman"/>
          <w:sz w:val="24"/>
          <w:szCs w:val="24"/>
          <w:highlight w:val="none"/>
        </w:rPr>
        <w:t xml:space="preserve">№ 152-ФЗ «О персональных данных», выражаю Общественной палате Новосибирской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области/управлению по делам ЗАГС Новосибирской области, расположенному по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адресу: 630007, г. Новосибирск, Красный проспект, 18 (далее - оператор),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согласие на обработку персональных данных, указанных в анкете кандидата в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общественный совет при управлении по делам ЗАГС Новосибирской области.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Я предоставляю оператору право осуществлять следующие действия с моими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персональными данными: сбор, систематизация, накопление, хранение,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уточнение (обновление, изменение), использование, обезличивание,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блокирование, уничтожение персональных данных, передача персональных данных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по запросам органов государственной власти Новосибирской области в рамках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их полномочий с использованием машинных носителей или по каналам связи с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соблюдением мер, обеспечивающих их защиту от несанкционированного доступа,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размещение их на официальном сайте Общественной  палаты  Новосибирской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области, официальном управления по делам ЗАГС Новосибирской области 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информационно - телекоммуникационной сети Интернет и (или) на странице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управления по делам ЗАГС Новосибирской области, размещенной на официальном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интернет-сайте исполнительных органов государственной власти Новосибирской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области. Оператор вправе осуществлять смешанную (автоматизированную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неавтоматизированную) обработку моих персональных данных посредством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внесения их в электронную базу данных, включения в списки (реестры)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отчетные формы, предусмотренные документами, регламентирующими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представление отчетных данных (документов).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Срок действия настоящего согласия ограничен сроком полномочий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общественного совета, членом которого я являюсь.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Я оставляю за собой право отозвать настоящее согласие посредством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составления соответствующего письменного документа, который может быть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направлен мной в адрес оператора по почте заказным письмом с уведомлением 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вручении либо вручен лично под расписку уполномоченному представителю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оператора.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В случае получения моего письменного заявления об отзыве настоящего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согласия на обработку персональных данных оператор обязан уничтожить мои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персональные данные, но не ранее срока, необходимого для достижения целей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обработки моих персональных данных.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Я ознакомлен(а) с правами субъекта персональных данных,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предусмотренными главой 3 Федерального закона от 27.07.2006 № 152-ФЗ «О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персональных данных</w:t>
      </w:r>
      <w:r>
        <w:rPr>
          <w:rFonts w:ascii="Times New Roman" w:hAnsi="Times New Roman"/>
          <w:sz w:val="24"/>
          <w:szCs w:val="24"/>
          <w:highlight w:val="none"/>
        </w:rPr>
        <w:t xml:space="preserve">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 20____ г.            ___________/ 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495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(подпись)                   (расшифровка подписи)</w:t>
      </w:r>
      <w:r>
        <w:rPr>
          <w:rFonts w:ascii="Times New Roman" w:hAnsi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СПРАВКА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40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  <w:highlight w:val="none"/>
        </w:rPr>
        <w:t xml:space="preserve">об отсутствии конфликта интересов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Я, 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(Ф.И.О., последнее - при наличии)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подтверждаю отсутствие личной заинтересованности, которая может повлиять 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надлежащее исполнение полномочий члена общественного совета при управлении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делам ЗАГС Новосибирской области и при которой может возникнуть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противоречие между личной заинтересованностью члена общественного совета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целями и задачами общественного контроля, установленными  Федеральным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законом от 21.07.2014 № 212-ФЗ «Об основах общественного контроля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«____» ____________ 20____ г.            ___________/ 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956"/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(подпись)                   (расшифровка подписи)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7"/>
    <w:next w:val="827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8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7"/>
    <w:next w:val="827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8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7"/>
    <w:next w:val="827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8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8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8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8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8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7"/>
    <w:next w:val="827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8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27"/>
    <w:next w:val="827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8"/>
    <w:link w:val="672"/>
    <w:uiPriority w:val="10"/>
    <w:rPr>
      <w:sz w:val="48"/>
      <w:szCs w:val="48"/>
    </w:rPr>
  </w:style>
  <w:style w:type="paragraph" w:styleId="674">
    <w:name w:val="Subtitle"/>
    <w:basedOn w:val="827"/>
    <w:next w:val="827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8"/>
    <w:link w:val="674"/>
    <w:uiPriority w:val="11"/>
    <w:rPr>
      <w:sz w:val="24"/>
      <w:szCs w:val="24"/>
    </w:rPr>
  </w:style>
  <w:style w:type="paragraph" w:styleId="676">
    <w:name w:val="Quote"/>
    <w:basedOn w:val="827"/>
    <w:next w:val="827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7"/>
    <w:next w:val="827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8"/>
    <w:link w:val="833"/>
    <w:uiPriority w:val="99"/>
  </w:style>
  <w:style w:type="character" w:styleId="681">
    <w:name w:val="Footer Char"/>
    <w:basedOn w:val="828"/>
    <w:link w:val="835"/>
    <w:uiPriority w:val="99"/>
  </w:style>
  <w:style w:type="paragraph" w:styleId="682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35"/>
    <w:uiPriority w:val="99"/>
  </w:style>
  <w:style w:type="table" w:styleId="684">
    <w:name w:val="Table Grid"/>
    <w:basedOn w:val="8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8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8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rPr>
      <w:rFonts w:ascii="Calibri" w:hAnsi="Calibri" w:eastAsia="Calibri" w:cs="Times New Roman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character" w:styleId="831">
    <w:name w:val="Hyperlink"/>
    <w:basedOn w:val="828"/>
    <w:uiPriority w:val="99"/>
    <w:semiHidden/>
    <w:unhideWhenUsed/>
    <w:rPr>
      <w:color w:val="0000ff"/>
      <w:u w:val="single"/>
    </w:rPr>
  </w:style>
  <w:style w:type="paragraph" w:styleId="832">
    <w:name w:val="List Paragraph"/>
    <w:basedOn w:val="827"/>
    <w:uiPriority w:val="34"/>
    <w:qFormat/>
    <w:pPr>
      <w:contextualSpacing/>
      <w:ind w:left="720"/>
    </w:pPr>
  </w:style>
  <w:style w:type="paragraph" w:styleId="833">
    <w:name w:val="Header"/>
    <w:basedOn w:val="827"/>
    <w:link w:val="8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4" w:customStyle="1">
    <w:name w:val="Верхний колонтитул Знак"/>
    <w:basedOn w:val="828"/>
    <w:link w:val="833"/>
    <w:uiPriority w:val="99"/>
    <w:rPr>
      <w:rFonts w:ascii="Calibri" w:hAnsi="Calibri" w:eastAsia="Calibri" w:cs="Times New Roman"/>
    </w:rPr>
  </w:style>
  <w:style w:type="paragraph" w:styleId="835">
    <w:name w:val="Footer"/>
    <w:basedOn w:val="827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Нижний колонтитул Знак"/>
    <w:basedOn w:val="828"/>
    <w:link w:val="835"/>
    <w:uiPriority w:val="99"/>
    <w:rPr>
      <w:rFonts w:ascii="Calibri" w:hAnsi="Calibri" w:eastAsia="Calibri" w:cs="Times New Roman"/>
    </w:rPr>
  </w:style>
  <w:style w:type="paragraph" w:styleId="837">
    <w:name w:val="Balloon Text"/>
    <w:basedOn w:val="827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28"/>
    <w:link w:val="837"/>
    <w:uiPriority w:val="99"/>
    <w:semiHidden/>
    <w:rPr>
      <w:rFonts w:ascii="Tahoma" w:hAnsi="Tahoma" w:eastAsia="Calibri" w:cs="Tahoma"/>
      <w:sz w:val="16"/>
      <w:szCs w:val="16"/>
    </w:rPr>
  </w:style>
  <w:style w:type="paragraph" w:styleId="83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  <w:lang w:eastAsia="ru-RU"/>
    </w:rPr>
  </w:style>
  <w:style w:type="paragraph" w:styleId="840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41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B4308BE8C7B6CE0E8FC96167A89E3DAE4246F209ACED135CA5B56D19106DFE4AF845CD11753215E3B1EB0015C116A35DD5C4BAC33BF226653151BE68c137D" TargetMode="External"/><Relationship Id="rId9" Type="http://schemas.openxmlformats.org/officeDocument/2006/relationships/hyperlink" Target="consultantplus://offline/ref=B4308BE8C7B6CE0E8FC96167A89E3DAE4246F209ACED135CA5B56D19106DFE4AF845CD11753215E3B1EB0014C916A35DD5C4BAC33BF226653151BE68c137D" TargetMode="External"/><Relationship Id="rId10" Type="http://schemas.openxmlformats.org/officeDocument/2006/relationships/hyperlink" Target="consultantplus://offline/ref=B4308BE8C7B6CE0E8FC96167A89E3DAE4246F209ACED135CA5B56D19106DFE4AF845CD11753215E3B1EB0011C916A35DD5C4BAC33BF226653151BE68c137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Черненок Инна Витальевна</dc:creator>
  <cp:revision>9</cp:revision>
  <dcterms:created xsi:type="dcterms:W3CDTF">2022-02-09T05:26:00Z</dcterms:created>
  <dcterms:modified xsi:type="dcterms:W3CDTF">2025-02-11T10:53:32Z</dcterms:modified>
</cp:coreProperties>
</file>